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r>
        <w:rPr>
          <w:rFonts w:ascii="黑体" w:hAnsi="黑体" w:eastAsia="黑体" w:cs="Times New Roman"/>
          <w:sz w:val="36"/>
          <w:szCs w:val="36"/>
        </w:rPr>
        <w:t>《零碳工厂评价标准》编制说明</w:t>
      </w:r>
    </w:p>
    <w:p>
      <w:pPr>
        <w:spacing w:line="360" w:lineRule="auto"/>
        <w:jc w:val="center"/>
        <w:rPr>
          <w:rFonts w:ascii="黑体" w:hAnsi="黑体" w:eastAsia="黑体" w:cs="Times New Roman"/>
          <w:sz w:val="36"/>
          <w:szCs w:val="36"/>
        </w:rPr>
      </w:pPr>
      <w:r>
        <w:rPr>
          <w:rFonts w:hint="eastAsia" w:ascii="黑体" w:hAnsi="黑体" w:eastAsia="黑体" w:cs="Times New Roman"/>
          <w:sz w:val="36"/>
          <w:szCs w:val="36"/>
          <w:lang w:val="en-US" w:eastAsia="zh-CN"/>
        </w:rPr>
        <w:t>（征求意见稿）</w:t>
      </w:r>
      <w:r>
        <w:rPr>
          <w:rFonts w:ascii="黑体" w:hAnsi="黑体" w:eastAsia="黑体" w:cs="Times New Roman"/>
          <w:sz w:val="36"/>
          <w:szCs w:val="36"/>
        </w:rPr>
        <w:cr/>
      </w: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6"/>
          <w:szCs w:val="36"/>
        </w:rPr>
      </w:pPr>
    </w:p>
    <w:p>
      <w:pPr>
        <w:spacing w:line="360" w:lineRule="auto"/>
        <w:jc w:val="center"/>
        <w:rPr>
          <w:rFonts w:ascii="黑体" w:hAnsi="黑体" w:eastAsia="黑体" w:cs="Times New Roman"/>
          <w:sz w:val="32"/>
          <w:szCs w:val="32"/>
        </w:rPr>
      </w:pPr>
      <w:r>
        <w:rPr>
          <w:rFonts w:hint="eastAsia" w:ascii="黑体" w:hAnsi="黑体" w:eastAsia="黑体" w:cs="Times New Roman"/>
          <w:sz w:val="32"/>
          <w:szCs w:val="32"/>
        </w:rPr>
        <w:t>标准</w:t>
      </w:r>
      <w:r>
        <w:rPr>
          <w:rFonts w:hint="eastAsia" w:ascii="黑体" w:hAnsi="黑体" w:eastAsia="黑体" w:cs="Times New Roman"/>
          <w:sz w:val="32"/>
          <w:szCs w:val="32"/>
          <w:lang w:val="en-US" w:eastAsia="zh-CN"/>
        </w:rPr>
        <w:t>起草</w:t>
      </w:r>
      <w:r>
        <w:rPr>
          <w:rFonts w:hint="eastAsia" w:ascii="黑体" w:hAnsi="黑体" w:eastAsia="黑体" w:cs="Times New Roman"/>
          <w:sz w:val="32"/>
          <w:szCs w:val="32"/>
        </w:rPr>
        <w:t>组</w:t>
      </w:r>
    </w:p>
    <w:p>
      <w:pPr>
        <w:spacing w:line="360" w:lineRule="auto"/>
        <w:jc w:val="center"/>
        <w:rPr>
          <w:rFonts w:ascii="Times New Roman" w:hAnsi="Times New Roman" w:cs="Times New Roman"/>
          <w:sz w:val="32"/>
          <w:szCs w:val="32"/>
        </w:rPr>
      </w:pPr>
      <w:r>
        <w:rPr>
          <w:rFonts w:hint="eastAsia" w:ascii="黑体" w:hAnsi="黑体" w:eastAsia="黑体" w:cs="Times New Roman"/>
          <w:sz w:val="32"/>
          <w:szCs w:val="32"/>
        </w:rPr>
        <w:t>二零二二年四月</w:t>
      </w:r>
    </w:p>
    <w:p>
      <w:pPr>
        <w:spacing w:line="360" w:lineRule="auto"/>
        <w:jc w:val="center"/>
        <w:rPr>
          <w:rFonts w:ascii="Times New Roman" w:hAnsi="Times New Roman" w:cs="Times New Roman"/>
          <w:sz w:val="24"/>
          <w:szCs w:val="24"/>
        </w:rPr>
      </w:pPr>
      <w:r>
        <w:rPr>
          <w:rFonts w:ascii="Times New Roman" w:hAnsi="Times New Roman" w:cs="Times New Roman"/>
          <w:sz w:val="24"/>
          <w:szCs w:val="24"/>
        </w:rPr>
        <w:br w:type="page"/>
      </w:r>
    </w:p>
    <w:p>
      <w:pPr>
        <w:spacing w:line="360" w:lineRule="auto"/>
        <w:jc w:val="center"/>
        <w:rPr>
          <w:rFonts w:ascii="黑体" w:hAnsi="黑体" w:eastAsia="黑体" w:cs="Times New Roman"/>
          <w:sz w:val="36"/>
          <w:szCs w:val="36"/>
        </w:rPr>
      </w:pPr>
      <w:r>
        <w:rPr>
          <w:rFonts w:ascii="黑体" w:hAnsi="黑体" w:eastAsia="黑体" w:cs="Times New Roman"/>
          <w:sz w:val="36"/>
          <w:szCs w:val="36"/>
        </w:rPr>
        <w:t>《零碳工厂评价标准》团体标准编制说明</w:t>
      </w:r>
    </w:p>
    <w:p>
      <w:pPr>
        <w:spacing w:line="360" w:lineRule="auto"/>
        <w:jc w:val="center"/>
        <w:rPr>
          <w:rFonts w:ascii="Times New Roman" w:hAnsi="Times New Roman" w:cs="Times New Roman"/>
          <w:sz w:val="24"/>
          <w:szCs w:val="24"/>
        </w:rPr>
      </w:pPr>
      <w:r>
        <w:rPr>
          <w:rFonts w:hint="eastAsia" w:ascii="黑体" w:hAnsi="黑体" w:eastAsia="黑体" w:cs="Times New Roman"/>
          <w:sz w:val="36"/>
          <w:szCs w:val="36"/>
          <w:lang w:eastAsia="zh-CN"/>
        </w:rPr>
        <w:t>（</w:t>
      </w:r>
      <w:r>
        <w:rPr>
          <w:rFonts w:hint="eastAsia" w:ascii="黑体" w:hAnsi="黑体" w:eastAsia="黑体" w:cs="Times New Roman"/>
          <w:sz w:val="36"/>
          <w:szCs w:val="36"/>
          <w:lang w:val="en-US" w:eastAsia="zh-CN"/>
        </w:rPr>
        <w:t>征求意见稿）</w:t>
      </w:r>
      <w:r>
        <w:rPr>
          <w:rFonts w:ascii="Times New Roman" w:hAnsi="Times New Roman" w:cs="Times New Roman"/>
          <w:sz w:val="24"/>
          <w:szCs w:val="24"/>
        </w:rPr>
        <w:cr/>
      </w:r>
    </w:p>
    <w:p>
      <w:pPr>
        <w:pStyle w:val="7"/>
        <w:numPr>
          <w:ilvl w:val="0"/>
          <w:numId w:val="1"/>
        </w:numPr>
        <w:spacing w:before="156" w:beforeLines="50" w:line="360" w:lineRule="auto"/>
        <w:ind w:left="614" w:hanging="614" w:hangingChars="192"/>
        <w:outlineLvl w:val="0"/>
        <w:rPr>
          <w:rFonts w:ascii="黑体" w:hAnsi="黑体" w:eastAsia="黑体" w:cs="Times New Roman"/>
          <w:sz w:val="32"/>
          <w:szCs w:val="32"/>
        </w:rPr>
      </w:pPr>
      <w:r>
        <w:rPr>
          <w:rFonts w:ascii="黑体" w:hAnsi="黑体" w:eastAsia="黑体" w:cs="Times New Roman"/>
          <w:sz w:val="32"/>
          <w:szCs w:val="32"/>
        </w:rPr>
        <w:t>工作简况</w:t>
      </w:r>
    </w:p>
    <w:p>
      <w:pPr>
        <w:ind w:firstLine="640" w:firstLineChars="200"/>
        <w:rPr>
          <w:rFonts w:ascii="仿宋" w:hAnsi="仿宋" w:eastAsia="仿宋"/>
          <w:sz w:val="32"/>
          <w:szCs w:val="32"/>
        </w:rPr>
      </w:pPr>
      <w:r>
        <w:rPr>
          <w:rFonts w:hint="eastAsia" w:ascii="仿宋" w:hAnsi="仿宋" w:eastAsia="仿宋"/>
          <w:sz w:val="32"/>
          <w:szCs w:val="32"/>
        </w:rPr>
        <w:t>本文件由中国节能协会提出并归口，由中国节能协会批准立项，由钛和认证（上海）有限公司、远景能源有限公司组建标准</w:t>
      </w:r>
      <w:r>
        <w:rPr>
          <w:rFonts w:hint="eastAsia" w:ascii="仿宋" w:hAnsi="仿宋" w:eastAsia="仿宋"/>
          <w:sz w:val="32"/>
          <w:szCs w:val="32"/>
          <w:lang w:val="en-US" w:eastAsia="zh-CN"/>
        </w:rPr>
        <w:t>起草工作组</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标准制定工作的主要过程如下：</w:t>
      </w:r>
    </w:p>
    <w:p>
      <w:pPr>
        <w:ind w:firstLine="640" w:firstLineChars="200"/>
        <w:rPr>
          <w:rFonts w:ascii="仿宋" w:hAnsi="仿宋" w:eastAsia="仿宋"/>
          <w:sz w:val="32"/>
          <w:szCs w:val="32"/>
        </w:rPr>
      </w:pPr>
      <w:r>
        <w:rPr>
          <w:rFonts w:hint="eastAsia" w:ascii="仿宋" w:hAnsi="仿宋" w:eastAsia="仿宋"/>
          <w:sz w:val="32"/>
          <w:szCs w:val="32"/>
        </w:rPr>
        <w:t>2022年1月，成立标准</w:t>
      </w:r>
      <w:r>
        <w:rPr>
          <w:rFonts w:hint="eastAsia" w:ascii="仿宋" w:hAnsi="仿宋" w:eastAsia="仿宋"/>
          <w:sz w:val="32"/>
          <w:szCs w:val="32"/>
          <w:lang w:val="en-US" w:eastAsia="zh-CN"/>
        </w:rPr>
        <w:t>起草</w:t>
      </w:r>
      <w:r>
        <w:rPr>
          <w:rFonts w:hint="eastAsia" w:ascii="仿宋" w:hAnsi="仿宋" w:eastAsia="仿宋"/>
          <w:sz w:val="32"/>
          <w:szCs w:val="32"/>
        </w:rPr>
        <w:t>工作组，明确标准制定项目需求，确定标准编制的工作计划，调研并收集基础资料；并完成首次专家论证，确定标准主要范围、标准化对象和基本框架后，启动标准制定工作。</w:t>
      </w:r>
    </w:p>
    <w:p>
      <w:pPr>
        <w:ind w:firstLine="640" w:firstLineChars="200"/>
        <w:rPr>
          <w:rFonts w:ascii="仿宋" w:hAnsi="仿宋" w:eastAsia="仿宋"/>
          <w:sz w:val="32"/>
          <w:szCs w:val="32"/>
        </w:rPr>
      </w:pPr>
      <w:r>
        <w:rPr>
          <w:rFonts w:hint="eastAsia" w:ascii="仿宋" w:hAnsi="仿宋" w:eastAsia="仿宋"/>
          <w:sz w:val="32"/>
          <w:szCs w:val="32"/>
        </w:rPr>
        <w:t>2022年2~</w:t>
      </w:r>
      <w:r>
        <w:rPr>
          <w:rFonts w:hint="eastAsia" w:ascii="仿宋" w:hAnsi="仿宋" w:eastAsia="仿宋"/>
          <w:sz w:val="32"/>
          <w:szCs w:val="32"/>
          <w:lang w:val="en-US" w:eastAsia="zh-CN"/>
        </w:rPr>
        <w:t>4</w:t>
      </w:r>
      <w:r>
        <w:rPr>
          <w:rFonts w:hint="eastAsia" w:ascii="仿宋" w:hAnsi="仿宋" w:eastAsia="仿宋"/>
          <w:sz w:val="32"/>
          <w:szCs w:val="32"/>
        </w:rPr>
        <w:t>月，标准</w:t>
      </w:r>
      <w:r>
        <w:rPr>
          <w:rFonts w:hint="eastAsia" w:ascii="仿宋" w:hAnsi="仿宋" w:eastAsia="仿宋"/>
          <w:sz w:val="32"/>
          <w:szCs w:val="32"/>
          <w:lang w:val="en-US" w:eastAsia="zh-CN"/>
        </w:rPr>
        <w:t>起草</w:t>
      </w:r>
      <w:r>
        <w:rPr>
          <w:rFonts w:hint="eastAsia" w:ascii="仿宋" w:hAnsi="仿宋" w:eastAsia="仿宋"/>
          <w:sz w:val="32"/>
          <w:szCs w:val="32"/>
        </w:rPr>
        <w:t>工作组研究现有与零碳工厂评价活动相关的国际及国内标准，系统梳理所搜集的资料，结合实际情况，按照GB/T 1.1—2020开展标准编制并形成工作讨论稿。</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9</w:t>
      </w:r>
      <w:r>
        <w:rPr>
          <w:rFonts w:hint="eastAsia" w:ascii="仿宋" w:hAnsi="仿宋" w:eastAsia="仿宋"/>
          <w:sz w:val="32"/>
          <w:szCs w:val="32"/>
        </w:rPr>
        <w:t>日标准</w:t>
      </w:r>
      <w:r>
        <w:rPr>
          <w:rFonts w:hint="eastAsia" w:ascii="仿宋" w:hAnsi="仿宋" w:eastAsia="仿宋"/>
          <w:sz w:val="32"/>
          <w:szCs w:val="32"/>
          <w:lang w:val="en-US" w:eastAsia="zh-CN"/>
        </w:rPr>
        <w:t>起草</w:t>
      </w:r>
      <w:r>
        <w:rPr>
          <w:rFonts w:hint="eastAsia" w:ascii="仿宋" w:hAnsi="仿宋" w:eastAsia="仿宋"/>
          <w:sz w:val="32"/>
          <w:szCs w:val="32"/>
        </w:rPr>
        <w:t>组组织专家通过视频方式</w:t>
      </w:r>
      <w:r>
        <w:rPr>
          <w:rFonts w:hint="eastAsia" w:ascii="仿宋" w:hAnsi="仿宋" w:eastAsia="仿宋"/>
          <w:sz w:val="32"/>
          <w:szCs w:val="32"/>
          <w:lang w:val="en-US" w:eastAsia="zh-CN"/>
        </w:rPr>
        <w:t>召开标准研讨会</w:t>
      </w:r>
      <w:r>
        <w:rPr>
          <w:rFonts w:hint="eastAsia" w:ascii="仿宋" w:hAnsi="仿宋" w:eastAsia="仿宋"/>
          <w:sz w:val="32"/>
          <w:szCs w:val="32"/>
        </w:rPr>
        <w:t>进行讨论评审，</w:t>
      </w:r>
      <w:r>
        <w:rPr>
          <w:rFonts w:hint="eastAsia" w:ascii="仿宋" w:hAnsi="仿宋" w:eastAsia="仿宋"/>
          <w:sz w:val="32"/>
          <w:szCs w:val="32"/>
          <w:lang w:val="en-US" w:eastAsia="zh-CN"/>
        </w:rPr>
        <w:t>起草</w:t>
      </w:r>
      <w:r>
        <w:rPr>
          <w:rFonts w:hint="eastAsia" w:ascii="仿宋" w:hAnsi="仿宋" w:eastAsia="仿宋"/>
          <w:sz w:val="32"/>
          <w:szCs w:val="32"/>
        </w:rPr>
        <w:t>组</w:t>
      </w:r>
      <w:r>
        <w:rPr>
          <w:rFonts w:hint="eastAsia" w:ascii="仿宋" w:hAnsi="仿宋" w:eastAsia="仿宋"/>
          <w:sz w:val="32"/>
          <w:szCs w:val="32"/>
          <w:lang w:val="en-US" w:eastAsia="zh-CN"/>
        </w:rPr>
        <w:t>整理专家意见并</w:t>
      </w:r>
      <w:r>
        <w:rPr>
          <w:rFonts w:hint="eastAsia" w:ascii="仿宋" w:hAnsi="仿宋" w:eastAsia="仿宋"/>
          <w:sz w:val="32"/>
          <w:szCs w:val="32"/>
        </w:rPr>
        <w:t>完善后形成</w:t>
      </w:r>
      <w:r>
        <w:rPr>
          <w:rFonts w:hint="eastAsia" w:ascii="仿宋" w:hAnsi="仿宋" w:eastAsia="仿宋"/>
          <w:sz w:val="32"/>
          <w:szCs w:val="32"/>
          <w:lang w:val="en-US" w:eastAsia="zh-CN"/>
        </w:rPr>
        <w:t>征求</w:t>
      </w:r>
      <w:r>
        <w:rPr>
          <w:rFonts w:hint="eastAsia" w:ascii="仿宋" w:hAnsi="仿宋" w:eastAsia="仿宋"/>
          <w:sz w:val="32"/>
          <w:szCs w:val="32"/>
        </w:rPr>
        <w:t>意见稿。</w:t>
      </w:r>
    </w:p>
    <w:p>
      <w:pPr>
        <w:pStyle w:val="7"/>
        <w:numPr>
          <w:ilvl w:val="0"/>
          <w:numId w:val="1"/>
        </w:numPr>
        <w:spacing w:before="156" w:beforeLines="50" w:line="360" w:lineRule="auto"/>
        <w:ind w:left="614" w:hanging="614" w:hangingChars="192"/>
        <w:outlineLvl w:val="0"/>
        <w:rPr>
          <w:rFonts w:ascii="黑体" w:hAnsi="黑体" w:eastAsia="黑体" w:cs="Times New Roman"/>
          <w:sz w:val="32"/>
          <w:szCs w:val="32"/>
        </w:rPr>
      </w:pPr>
      <w:r>
        <w:rPr>
          <w:rFonts w:hint="eastAsia" w:ascii="黑体" w:hAnsi="黑体" w:eastAsia="黑体" w:cs="Times New Roman"/>
          <w:sz w:val="32"/>
          <w:szCs w:val="32"/>
        </w:rPr>
        <w:t>标准主要技术内容</w:t>
      </w:r>
    </w:p>
    <w:p>
      <w:pPr>
        <w:ind w:firstLine="640" w:firstLineChars="200"/>
        <w:rPr>
          <w:rFonts w:ascii="仿宋" w:hAnsi="仿宋" w:eastAsia="仿宋"/>
          <w:sz w:val="32"/>
          <w:szCs w:val="32"/>
        </w:rPr>
      </w:pPr>
      <w:r>
        <w:rPr>
          <w:rFonts w:hint="eastAsia" w:ascii="仿宋" w:hAnsi="仿宋" w:eastAsia="仿宋"/>
          <w:sz w:val="32"/>
          <w:szCs w:val="32"/>
        </w:rPr>
        <w:t>《零碳工厂评价标准》按照GB/T 1.1-2020《标准化工作导则 第1部分：标准化文件的结构和起草规则》的规定起草，</w:t>
      </w:r>
      <w:r>
        <w:rPr>
          <w:rFonts w:ascii="仿宋" w:hAnsi="仿宋" w:eastAsia="仿宋"/>
          <w:sz w:val="32"/>
          <w:szCs w:val="32"/>
        </w:rPr>
        <w:t>并结合</w:t>
      </w:r>
      <w:r>
        <w:rPr>
          <w:rFonts w:hint="eastAsia" w:ascii="仿宋" w:hAnsi="仿宋" w:eastAsia="仿宋"/>
          <w:sz w:val="32"/>
          <w:szCs w:val="32"/>
        </w:rPr>
        <w:t>“双碳”目标的实现需求、国际社会对</w:t>
      </w:r>
      <w:r>
        <w:rPr>
          <w:rFonts w:ascii="仿宋" w:hAnsi="仿宋" w:eastAsia="仿宋"/>
          <w:sz w:val="32"/>
          <w:szCs w:val="32"/>
        </w:rPr>
        <w:t>碳中和目标需求而制定</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《零碳工厂评价标准》规定了制造企业零碳工厂的评价要求、评价内容和评价方法，适用于企业建立及打造零碳工厂，及第三方评估机构针对零碳工厂的评价活动。</w:t>
      </w:r>
    </w:p>
    <w:p>
      <w:pPr>
        <w:ind w:firstLine="640" w:firstLineChars="200"/>
        <w:rPr>
          <w:rFonts w:hint="eastAsia" w:ascii="仿宋" w:hAnsi="仿宋" w:eastAsia="仿宋"/>
          <w:sz w:val="32"/>
          <w:szCs w:val="32"/>
        </w:rPr>
      </w:pPr>
      <w:r>
        <w:rPr>
          <w:rFonts w:hint="eastAsia" w:ascii="仿宋" w:hAnsi="仿宋" w:eastAsia="仿宋"/>
          <w:sz w:val="32"/>
          <w:szCs w:val="32"/>
        </w:rPr>
        <w:t>本文件的主要技术内容包括：</w:t>
      </w:r>
    </w:p>
    <w:p>
      <w:pPr>
        <w:ind w:firstLine="640" w:firstLineChars="200"/>
        <w:rPr>
          <w:rFonts w:hint="eastAsia" w:ascii="仿宋" w:hAnsi="仿宋" w:eastAsia="仿宋"/>
          <w:sz w:val="32"/>
          <w:szCs w:val="32"/>
        </w:rPr>
      </w:pPr>
      <w:r>
        <w:rPr>
          <w:rFonts w:hint="eastAsia" w:ascii="仿宋" w:hAnsi="仿宋" w:eastAsia="仿宋"/>
          <w:sz w:val="32"/>
          <w:szCs w:val="32"/>
        </w:rPr>
        <w:t>1. 范围</w:t>
      </w:r>
    </w:p>
    <w:p>
      <w:pPr>
        <w:ind w:firstLine="640" w:firstLineChars="200"/>
        <w:rPr>
          <w:rFonts w:hint="eastAsia" w:ascii="仿宋" w:hAnsi="仿宋" w:eastAsia="仿宋"/>
          <w:sz w:val="32"/>
          <w:szCs w:val="32"/>
        </w:rPr>
      </w:pPr>
      <w:r>
        <w:rPr>
          <w:rFonts w:hint="eastAsia" w:ascii="仿宋" w:hAnsi="仿宋" w:eastAsia="仿宋"/>
          <w:sz w:val="32"/>
          <w:szCs w:val="32"/>
        </w:rPr>
        <w:t>2. 规范性引用文件</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3. 术语和定义</w:t>
      </w:r>
    </w:p>
    <w:p>
      <w:pPr>
        <w:ind w:left="200" w:firstLine="640" w:firstLineChars="200"/>
        <w:rPr>
          <w:rFonts w:hint="eastAsia" w:ascii="仿宋" w:hAnsi="仿宋" w:eastAsia="仿宋"/>
          <w:sz w:val="32"/>
          <w:szCs w:val="32"/>
        </w:rPr>
      </w:pPr>
      <w:r>
        <w:rPr>
          <w:rFonts w:hint="eastAsia" w:ascii="仿宋" w:hAnsi="仿宋" w:eastAsia="仿宋"/>
          <w:sz w:val="32"/>
          <w:szCs w:val="32"/>
        </w:rPr>
        <w:t>3.1. 温室气体（GREENHOUSE GAS,简称GHG）</w:t>
      </w:r>
    </w:p>
    <w:p>
      <w:pPr>
        <w:ind w:left="200" w:firstLine="640" w:firstLineChars="200"/>
        <w:rPr>
          <w:rFonts w:hint="eastAsia" w:ascii="仿宋" w:hAnsi="仿宋" w:eastAsia="仿宋"/>
          <w:sz w:val="32"/>
          <w:szCs w:val="32"/>
        </w:rPr>
      </w:pPr>
      <w:r>
        <w:rPr>
          <w:rFonts w:hint="eastAsia" w:ascii="仿宋" w:hAnsi="仿宋" w:eastAsia="仿宋"/>
          <w:sz w:val="32"/>
          <w:szCs w:val="32"/>
        </w:rPr>
        <w:t>3.2. 零碳工厂</w:t>
      </w:r>
    </w:p>
    <w:p>
      <w:pPr>
        <w:ind w:left="200" w:firstLine="640" w:firstLineChars="200"/>
        <w:rPr>
          <w:rFonts w:hint="eastAsia" w:ascii="仿宋" w:hAnsi="仿宋" w:eastAsia="仿宋"/>
          <w:sz w:val="32"/>
          <w:szCs w:val="32"/>
        </w:rPr>
      </w:pPr>
      <w:r>
        <w:rPr>
          <w:rFonts w:hint="eastAsia" w:ascii="仿宋" w:hAnsi="仿宋" w:eastAsia="仿宋"/>
          <w:sz w:val="32"/>
          <w:szCs w:val="32"/>
        </w:rPr>
        <w:t>3.3. 碳信用</w:t>
      </w:r>
    </w:p>
    <w:p>
      <w:pPr>
        <w:ind w:left="200" w:firstLine="640" w:firstLineChars="200"/>
        <w:rPr>
          <w:rFonts w:hint="eastAsia" w:ascii="仿宋" w:hAnsi="仿宋" w:eastAsia="仿宋"/>
          <w:sz w:val="32"/>
          <w:szCs w:val="32"/>
        </w:rPr>
      </w:pPr>
      <w:r>
        <w:rPr>
          <w:rFonts w:hint="eastAsia" w:ascii="仿宋" w:hAnsi="仿宋" w:eastAsia="仿宋"/>
          <w:sz w:val="32"/>
          <w:szCs w:val="32"/>
        </w:rPr>
        <w:t>3.4. 碳配额</w:t>
      </w:r>
    </w:p>
    <w:p>
      <w:pPr>
        <w:ind w:left="200" w:firstLine="640" w:firstLineChars="200"/>
        <w:rPr>
          <w:rFonts w:hint="eastAsia" w:ascii="仿宋" w:hAnsi="仿宋" w:eastAsia="仿宋"/>
          <w:sz w:val="32"/>
          <w:szCs w:val="32"/>
        </w:rPr>
      </w:pPr>
      <w:r>
        <w:rPr>
          <w:rFonts w:hint="eastAsia" w:ascii="仿宋" w:hAnsi="仿宋" w:eastAsia="仿宋"/>
          <w:sz w:val="32"/>
          <w:szCs w:val="32"/>
        </w:rPr>
        <w:t>3.5. 碳清除</w:t>
      </w:r>
    </w:p>
    <w:p>
      <w:pPr>
        <w:ind w:left="200" w:firstLine="640" w:firstLineChars="200"/>
        <w:rPr>
          <w:rFonts w:hint="eastAsia" w:ascii="仿宋" w:hAnsi="仿宋" w:eastAsia="仿宋"/>
          <w:sz w:val="32"/>
          <w:szCs w:val="32"/>
        </w:rPr>
      </w:pPr>
      <w:r>
        <w:rPr>
          <w:rFonts w:hint="eastAsia" w:ascii="仿宋" w:hAnsi="仿宋" w:eastAsia="仿宋"/>
          <w:sz w:val="32"/>
          <w:szCs w:val="32"/>
        </w:rPr>
        <w:t>3.6. 碳抵消</w:t>
      </w:r>
    </w:p>
    <w:p>
      <w:pPr>
        <w:ind w:left="200" w:firstLine="640" w:firstLineChars="200"/>
        <w:rPr>
          <w:rFonts w:hint="eastAsia" w:ascii="仿宋" w:hAnsi="仿宋" w:eastAsia="仿宋"/>
          <w:sz w:val="32"/>
          <w:szCs w:val="32"/>
        </w:rPr>
      </w:pPr>
      <w:r>
        <w:rPr>
          <w:rFonts w:hint="eastAsia" w:ascii="仿宋" w:hAnsi="仿宋" w:eastAsia="仿宋"/>
          <w:sz w:val="32"/>
          <w:szCs w:val="32"/>
        </w:rPr>
        <w:t>3.7. 预期使用者</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3.8. 智能物联AIOT</w:t>
      </w:r>
    </w:p>
    <w:p>
      <w:pPr>
        <w:ind w:left="200" w:firstLine="640" w:firstLineChars="200"/>
        <w:rPr>
          <w:rFonts w:hint="eastAsia" w:ascii="仿宋" w:hAnsi="仿宋" w:eastAsia="仿宋"/>
          <w:sz w:val="32"/>
          <w:szCs w:val="32"/>
        </w:rPr>
      </w:pPr>
      <w:r>
        <w:rPr>
          <w:rFonts w:hint="eastAsia" w:ascii="仿宋" w:hAnsi="仿宋" w:eastAsia="仿宋"/>
          <w:sz w:val="32"/>
          <w:szCs w:val="32"/>
        </w:rPr>
        <w:t>3.9. 能源和碳排放智能信息化管理系统</w:t>
      </w:r>
    </w:p>
    <w:p>
      <w:pPr>
        <w:ind w:firstLine="640" w:firstLineChars="200"/>
        <w:rPr>
          <w:rFonts w:hint="eastAsia" w:ascii="仿宋" w:hAnsi="仿宋" w:eastAsia="仿宋"/>
          <w:sz w:val="32"/>
          <w:szCs w:val="32"/>
        </w:rPr>
      </w:pPr>
      <w:r>
        <w:rPr>
          <w:rFonts w:hint="eastAsia" w:ascii="仿宋" w:hAnsi="仿宋" w:eastAsia="仿宋"/>
          <w:sz w:val="32"/>
          <w:szCs w:val="32"/>
        </w:rPr>
        <w:t>4. 零碳工厂创建和评价原则</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4.1. 零碳工厂创建原则</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4.2. 第三方评价原则</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5. 零碳工厂基本要求</w:t>
      </w:r>
    </w:p>
    <w:p>
      <w:pPr>
        <w:ind w:left="200" w:firstLine="640" w:firstLineChars="200"/>
        <w:rPr>
          <w:rFonts w:hint="eastAsia" w:ascii="仿宋" w:hAnsi="仿宋" w:eastAsia="仿宋"/>
          <w:sz w:val="32"/>
          <w:szCs w:val="32"/>
        </w:rPr>
      </w:pPr>
      <w:r>
        <w:rPr>
          <w:rFonts w:hint="eastAsia" w:ascii="仿宋" w:hAnsi="仿宋" w:eastAsia="仿宋"/>
          <w:sz w:val="32"/>
          <w:szCs w:val="32"/>
        </w:rPr>
        <w:t>5.1. 一般要求</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5.2. 基本合规性要求</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5.3. 基本管理要求</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5.3.1. 最高管理者承诺</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5.3.2. 温室气体排放管理体系和制度</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6. 零碳工厂评价要求</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6.1. 基础设施</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6.1.1. 建筑</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6.1.2. 照明</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6.1.3. 设备设施</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6.1.4. 计量设备</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6.2. 能源和碳排放智能信息化管理系统</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6.3. 能源和资源使用</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6.3.1. 能源使用</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6.3.2. 资源使用</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6.4. 产品</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6.5. 温室气体减排实施</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6.6. 碳抵消实施</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7. 零碳工厂实施流程</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7.1. 准备阶段</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7.1.1. 制定零碳工厂实施计划</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7.1.2. 建立内部温室气体管理体系和制度</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7.2. 实施阶段</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7.2.1. 确定温室气体排放基准线</w:t>
      </w:r>
    </w:p>
    <w:p>
      <w:pPr>
        <w:ind w:left="620" w:firstLine="640" w:firstLineChars="200"/>
        <w:rPr>
          <w:rFonts w:hint="eastAsia" w:ascii="仿宋" w:hAnsi="仿宋" w:eastAsia="仿宋"/>
          <w:sz w:val="32"/>
          <w:szCs w:val="32"/>
        </w:rPr>
      </w:pPr>
      <w:r>
        <w:rPr>
          <w:rFonts w:hint="eastAsia" w:ascii="仿宋" w:hAnsi="仿宋" w:eastAsia="仿宋"/>
          <w:sz w:val="32"/>
          <w:szCs w:val="32"/>
        </w:rPr>
        <w:t>7.2.2. 实施温室气体减排</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7.2.3. 核算年度温室气体排放</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7.2.4. 实施碳清除和（或）碳抵消</w:t>
      </w:r>
      <w:r>
        <w:rPr>
          <w:rFonts w:hint="eastAsia" w:ascii="仿宋" w:hAnsi="仿宋" w:eastAsia="仿宋"/>
          <w:sz w:val="32"/>
          <w:szCs w:val="32"/>
        </w:rPr>
        <w:tab/>
      </w:r>
    </w:p>
    <w:p>
      <w:pPr>
        <w:ind w:left="1040" w:firstLine="640" w:firstLineChars="200"/>
        <w:rPr>
          <w:rFonts w:hint="eastAsia" w:ascii="仿宋" w:hAnsi="仿宋" w:eastAsia="仿宋"/>
          <w:sz w:val="32"/>
          <w:szCs w:val="32"/>
        </w:rPr>
      </w:pPr>
      <w:r>
        <w:rPr>
          <w:rFonts w:hint="eastAsia" w:ascii="仿宋" w:hAnsi="仿宋" w:eastAsia="仿宋"/>
          <w:sz w:val="32"/>
          <w:szCs w:val="32"/>
        </w:rPr>
        <w:t>7.2.4.1. 购买方式</w:t>
      </w:r>
      <w:r>
        <w:rPr>
          <w:rFonts w:hint="eastAsia" w:ascii="仿宋" w:hAnsi="仿宋" w:eastAsia="仿宋"/>
          <w:sz w:val="32"/>
          <w:szCs w:val="32"/>
        </w:rPr>
        <w:tab/>
      </w:r>
    </w:p>
    <w:p>
      <w:pPr>
        <w:ind w:left="1040" w:firstLine="640" w:firstLineChars="200"/>
        <w:rPr>
          <w:rFonts w:hint="eastAsia" w:ascii="仿宋" w:hAnsi="仿宋" w:eastAsia="仿宋"/>
          <w:sz w:val="32"/>
          <w:szCs w:val="32"/>
        </w:rPr>
      </w:pPr>
      <w:r>
        <w:rPr>
          <w:rFonts w:hint="eastAsia" w:ascii="仿宋" w:hAnsi="仿宋" w:eastAsia="仿宋"/>
          <w:sz w:val="32"/>
          <w:szCs w:val="32"/>
        </w:rPr>
        <w:t>7.2.4.2. 边界外自主开发方式</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7.3. 评价阶段</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7.3.1. 评价要求</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7.3.2. 评价方式</w:t>
      </w:r>
      <w:r>
        <w:rPr>
          <w:rFonts w:hint="eastAsia" w:ascii="仿宋" w:hAnsi="仿宋" w:eastAsia="仿宋"/>
          <w:sz w:val="32"/>
          <w:szCs w:val="32"/>
        </w:rPr>
        <w:tab/>
      </w:r>
    </w:p>
    <w:p>
      <w:pPr>
        <w:ind w:left="620" w:firstLine="640" w:firstLineChars="200"/>
        <w:rPr>
          <w:rFonts w:hint="eastAsia" w:ascii="仿宋" w:hAnsi="仿宋" w:eastAsia="仿宋"/>
          <w:sz w:val="32"/>
          <w:szCs w:val="32"/>
        </w:rPr>
      </w:pPr>
      <w:r>
        <w:rPr>
          <w:rFonts w:hint="eastAsia" w:ascii="仿宋" w:hAnsi="仿宋" w:eastAsia="仿宋"/>
          <w:sz w:val="32"/>
          <w:szCs w:val="32"/>
        </w:rPr>
        <w:t>7.3.3. 评价证书</w:t>
      </w:r>
      <w:r>
        <w:rPr>
          <w:rFonts w:hint="eastAsia" w:ascii="仿宋" w:hAnsi="仿宋" w:eastAsia="仿宋"/>
          <w:sz w:val="32"/>
          <w:szCs w:val="32"/>
        </w:rPr>
        <w:tab/>
      </w:r>
    </w:p>
    <w:p>
      <w:pPr>
        <w:ind w:left="200" w:firstLine="640" w:firstLineChars="200"/>
        <w:rPr>
          <w:rFonts w:hint="eastAsia" w:ascii="仿宋" w:hAnsi="仿宋" w:eastAsia="仿宋"/>
          <w:sz w:val="32"/>
          <w:szCs w:val="32"/>
        </w:rPr>
      </w:pPr>
      <w:r>
        <w:rPr>
          <w:rFonts w:hint="eastAsia" w:ascii="仿宋" w:hAnsi="仿宋" w:eastAsia="仿宋"/>
          <w:sz w:val="32"/>
          <w:szCs w:val="32"/>
        </w:rPr>
        <w:t>7.4. 持续改善阶段</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附录A</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附录B</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附录C</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附录D</w:t>
      </w:r>
      <w:r>
        <w:rPr>
          <w:rFonts w:hint="eastAsia" w:ascii="仿宋" w:hAnsi="仿宋" w:eastAsia="仿宋"/>
          <w:sz w:val="32"/>
          <w:szCs w:val="32"/>
        </w:rPr>
        <w:tab/>
      </w:r>
    </w:p>
    <w:p>
      <w:pPr>
        <w:ind w:firstLine="640" w:firstLineChars="200"/>
        <w:rPr>
          <w:rFonts w:hint="eastAsia" w:ascii="仿宋" w:hAnsi="仿宋" w:eastAsia="仿宋"/>
          <w:sz w:val="32"/>
          <w:szCs w:val="32"/>
        </w:rPr>
      </w:pPr>
      <w:r>
        <w:rPr>
          <w:rFonts w:hint="eastAsia" w:ascii="仿宋" w:hAnsi="仿宋" w:eastAsia="仿宋"/>
          <w:sz w:val="32"/>
          <w:szCs w:val="32"/>
        </w:rPr>
        <w:t>参考文献</w:t>
      </w:r>
      <w:r>
        <w:rPr>
          <w:rFonts w:hint="eastAsia" w:ascii="仿宋" w:hAnsi="仿宋" w:eastAsia="仿宋"/>
          <w:sz w:val="32"/>
          <w:szCs w:val="32"/>
        </w:rPr>
        <w:tab/>
      </w:r>
    </w:p>
    <w:p>
      <w:pPr>
        <w:ind w:firstLine="640" w:firstLineChars="200"/>
        <w:rPr>
          <w:rFonts w:hint="eastAsia" w:ascii="仿宋" w:hAnsi="仿宋" w:eastAsia="仿宋"/>
          <w:sz w:val="32"/>
          <w:szCs w:val="32"/>
        </w:rPr>
      </w:pPr>
    </w:p>
    <w:p>
      <w:pPr>
        <w:ind w:firstLine="0" w:firstLineChars="0"/>
        <w:rPr>
          <w:rFonts w:ascii="黑体" w:hAnsi="黑体" w:eastAsia="黑体" w:cs="Times New Roman"/>
          <w:sz w:val="32"/>
          <w:szCs w:val="32"/>
        </w:rPr>
      </w:pPr>
      <w:r>
        <w:rPr>
          <w:rFonts w:hint="eastAsia" w:ascii="黑体" w:hAnsi="黑体" w:eastAsia="黑体" w:cs="Times New Roman"/>
          <w:sz w:val="32"/>
          <w:szCs w:val="32"/>
        </w:rPr>
        <w:t>采用国际标准的程度及水平的简要说明</w:t>
      </w:r>
    </w:p>
    <w:p>
      <w:pPr>
        <w:ind w:firstLine="640" w:firstLineChars="200"/>
        <w:rPr>
          <w:rFonts w:ascii="仿宋" w:hAnsi="仿宋" w:eastAsia="仿宋"/>
          <w:sz w:val="32"/>
          <w:szCs w:val="32"/>
        </w:rPr>
      </w:pPr>
      <w:r>
        <w:rPr>
          <w:rFonts w:hint="eastAsia" w:ascii="仿宋" w:hAnsi="仿宋" w:eastAsia="仿宋"/>
          <w:sz w:val="32"/>
          <w:szCs w:val="32"/>
        </w:rPr>
        <w:t>目前有关温室气体管理的标准均是从核算、核查和审定出发，而针对企业如何践行碳中和，实现净零排放，引导行业、企业、工厂向“双碳”目标实现还极度匮乏，关于“零碳工厂评价”标准在国内仍处于空白状态，因此，通过本标准的发布，将有利于推动行业、企业、工厂改变既有能源系统，推动新技术、新模式、新流程迭代更新，并引领行业朝实现“双碳”目标方向迈进。</w:t>
      </w:r>
    </w:p>
    <w:p>
      <w:pPr>
        <w:ind w:firstLine="640" w:firstLineChars="200"/>
        <w:rPr>
          <w:rFonts w:ascii="仿宋" w:hAnsi="仿宋" w:eastAsia="仿宋"/>
          <w:sz w:val="32"/>
          <w:szCs w:val="32"/>
        </w:rPr>
      </w:pPr>
      <w:r>
        <w:rPr>
          <w:rFonts w:hint="eastAsia" w:ascii="仿宋" w:hAnsi="仿宋" w:eastAsia="仿宋"/>
          <w:sz w:val="32"/>
          <w:szCs w:val="32"/>
        </w:rPr>
        <w:t>基于以上目的，本标准</w:t>
      </w:r>
      <w:r>
        <w:rPr>
          <w:rFonts w:hint="eastAsia" w:ascii="仿宋" w:hAnsi="仿宋" w:eastAsia="仿宋"/>
          <w:sz w:val="32"/>
          <w:szCs w:val="32"/>
          <w:lang w:val="en-US" w:eastAsia="zh-CN"/>
        </w:rPr>
        <w:t>起草</w:t>
      </w:r>
      <w:r>
        <w:rPr>
          <w:rFonts w:hint="eastAsia" w:ascii="仿宋" w:hAnsi="仿宋" w:eastAsia="仿宋"/>
          <w:sz w:val="32"/>
          <w:szCs w:val="32"/>
        </w:rPr>
        <w:t>工作组系统梳理了与零碳工厂活动相关的现有国际标准，主要包括：ISO 环境管理技术委员会制定发布的一系列应对气候变化管理相关的国际标准，包括ISO 14064 的三个部分，即ISO 14064-1、ISO 14064-2、ISO 14064-3，这些标准围绕温室气体组织或项目层面的核算、审定与核查工作；以及世界资源研究所与世界可持续发展工商理事会组织发布的《温室气体核算体系企业核算与报告标准》，这标准围绕温室气体组织层面的核算；以及英国标准协会（BSI）制定发布的《PAS 2060：2014 碳中和证明规范》。</w:t>
      </w:r>
    </w:p>
    <w:p>
      <w:pPr>
        <w:ind w:firstLine="640" w:firstLineChars="200"/>
        <w:rPr>
          <w:rFonts w:ascii="仿宋" w:hAnsi="仿宋" w:eastAsia="仿宋"/>
          <w:sz w:val="32"/>
          <w:szCs w:val="32"/>
        </w:rPr>
      </w:pPr>
      <w:r>
        <w:rPr>
          <w:rFonts w:hint="eastAsia" w:ascii="仿宋" w:hAnsi="仿宋" w:eastAsia="仿宋"/>
          <w:sz w:val="32"/>
          <w:szCs w:val="32"/>
        </w:rPr>
        <w:t>同时，标准起草工作组也系统梳理了与零碳工厂活动相关的现有国内标准，主要包括：GB 50034 建筑照明设计标准、GB 17167 用能单位能源计量器具配置和管理通则、GB/T 24256 产品生态设计通则、TCIECCPA002-2021碳管理体系 要求及使用指南、GB/T 36132-2018 绿色工厂评价通则、（工信厅节函[2016]586号 附件1绿色工厂评价要求、GB/T 23331-2020 能源管理体系 要求及使用指南等等，为系统性、全面性编制零碳工厂评价标准要求奠定了基础。</w:t>
      </w:r>
    </w:p>
    <w:p>
      <w:pPr>
        <w:pStyle w:val="7"/>
        <w:numPr>
          <w:ilvl w:val="0"/>
          <w:numId w:val="1"/>
        </w:numPr>
        <w:spacing w:before="156" w:beforeLines="50" w:line="360" w:lineRule="auto"/>
        <w:ind w:left="614" w:hanging="614" w:hangingChars="192"/>
        <w:outlineLvl w:val="0"/>
        <w:rPr>
          <w:rFonts w:ascii="黑体" w:hAnsi="黑体" w:eastAsia="黑体" w:cs="Times New Roman"/>
          <w:sz w:val="32"/>
          <w:szCs w:val="32"/>
        </w:rPr>
      </w:pPr>
      <w:r>
        <w:rPr>
          <w:rFonts w:hint="eastAsia" w:ascii="黑体" w:hAnsi="黑体" w:eastAsia="黑体" w:cs="Times New Roman"/>
          <w:sz w:val="32"/>
          <w:szCs w:val="32"/>
        </w:rPr>
        <w:t>重大分岐意见的处理经过和依据</w:t>
      </w:r>
    </w:p>
    <w:p>
      <w:pPr>
        <w:ind w:firstLine="640" w:firstLineChars="200"/>
        <w:rPr>
          <w:rFonts w:ascii="仿宋" w:hAnsi="仿宋" w:eastAsia="仿宋"/>
          <w:sz w:val="32"/>
          <w:szCs w:val="32"/>
        </w:rPr>
      </w:pPr>
      <w:r>
        <w:rPr>
          <w:rFonts w:hint="eastAsia" w:ascii="仿宋" w:hAnsi="仿宋" w:eastAsia="仿宋"/>
          <w:sz w:val="32"/>
          <w:szCs w:val="32"/>
        </w:rPr>
        <w:t>无</w:t>
      </w:r>
    </w:p>
    <w:p>
      <w:pPr>
        <w:pStyle w:val="7"/>
        <w:numPr>
          <w:ilvl w:val="-1"/>
          <w:numId w:val="0"/>
        </w:numPr>
        <w:spacing w:before="156" w:beforeLines="50" w:line="360" w:lineRule="auto"/>
        <w:ind w:left="-403" w:leftChars="-192" w:firstLine="0" w:firstLineChars="0"/>
        <w:outlineLvl w:val="0"/>
        <w:rPr>
          <w:rFonts w:hint="eastAsia" w:ascii="仿宋" w:hAnsi="仿宋" w:eastAsia="仿宋"/>
          <w:sz w:val="32"/>
          <w:szCs w:val="32"/>
        </w:rPr>
      </w:pPr>
    </w:p>
    <w:p>
      <w:pPr>
        <w:spacing w:beforeLines="50" w:afterLines="50"/>
        <w:outlineLvl w:val="0"/>
        <w:rPr>
          <w:rFonts w:ascii="Times New Roman" w:hAnsi="Times New Roman"/>
          <w:b/>
          <w:sz w:val="28"/>
          <w:szCs w:val="28"/>
        </w:rPr>
      </w:pPr>
      <w:bookmarkStart w:id="0" w:name="_Toc44514400"/>
      <w:r>
        <w:rPr>
          <w:rFonts w:hint="eastAsia" w:ascii="Times New Roman" w:hAnsi="Times New Roman"/>
          <w:b/>
          <w:sz w:val="28"/>
          <w:szCs w:val="28"/>
          <w:lang w:val="en-US" w:eastAsia="zh-CN"/>
        </w:rPr>
        <w:t>四</w:t>
      </w:r>
      <w:r>
        <w:rPr>
          <w:rFonts w:ascii="Times New Roman" w:hAnsi="Times New Roman"/>
          <w:b/>
          <w:sz w:val="28"/>
          <w:szCs w:val="28"/>
        </w:rPr>
        <w:t>、标准性质建议与说明</w:t>
      </w:r>
      <w:bookmarkEnd w:id="0"/>
    </w:p>
    <w:p>
      <w:pPr>
        <w:ind w:firstLine="560" w:firstLineChars="200"/>
        <w:rPr>
          <w:rFonts w:ascii="Times New Roman" w:hAnsi="Times New Roman"/>
          <w:sz w:val="28"/>
          <w:szCs w:val="28"/>
        </w:rPr>
      </w:pPr>
      <w:r>
        <w:rPr>
          <w:rFonts w:ascii="Times New Roman" w:hAnsi="Times New Roman"/>
          <w:sz w:val="28"/>
          <w:szCs w:val="28"/>
        </w:rPr>
        <w:t>本标准为</w:t>
      </w:r>
      <w:r>
        <w:rPr>
          <w:rFonts w:hint="eastAsia" w:ascii="Times New Roman" w:hAnsi="Times New Roman"/>
          <w:sz w:val="28"/>
          <w:szCs w:val="28"/>
        </w:rPr>
        <w:t>中国节能协会</w:t>
      </w:r>
      <w:r>
        <w:rPr>
          <w:rFonts w:ascii="Times New Roman" w:hAnsi="Times New Roman"/>
          <w:sz w:val="28"/>
          <w:szCs w:val="28"/>
        </w:rPr>
        <w:t>标准，属于团体标准,供协会会员和社会自愿使用。</w:t>
      </w:r>
    </w:p>
    <w:p>
      <w:pPr>
        <w:spacing w:beforeLines="50" w:afterLines="50"/>
        <w:outlineLvl w:val="0"/>
        <w:rPr>
          <w:rFonts w:ascii="Times New Roman" w:hAnsi="Times New Roman"/>
          <w:b/>
          <w:sz w:val="28"/>
          <w:szCs w:val="28"/>
        </w:rPr>
      </w:pPr>
      <w:bookmarkStart w:id="1" w:name="_Toc44514401"/>
      <w:r>
        <w:rPr>
          <w:rFonts w:hint="eastAsia" w:ascii="Times New Roman" w:hAnsi="Times New Roman"/>
          <w:b/>
          <w:sz w:val="28"/>
          <w:szCs w:val="28"/>
          <w:lang w:val="en-US" w:eastAsia="zh-CN"/>
        </w:rPr>
        <w:t>五</w:t>
      </w:r>
      <w:r>
        <w:rPr>
          <w:rFonts w:ascii="Times New Roman" w:hAnsi="Times New Roman"/>
          <w:b/>
          <w:sz w:val="28"/>
          <w:szCs w:val="28"/>
        </w:rPr>
        <w:t>、贯彻</w:t>
      </w:r>
      <w:r>
        <w:rPr>
          <w:rFonts w:hint="eastAsia" w:ascii="Times New Roman" w:hAnsi="Times New Roman"/>
          <w:b/>
          <w:sz w:val="28"/>
          <w:szCs w:val="28"/>
        </w:rPr>
        <w:t>中国节能协会</w:t>
      </w:r>
      <w:r>
        <w:rPr>
          <w:rFonts w:ascii="Times New Roman" w:hAnsi="Times New Roman"/>
          <w:b/>
          <w:sz w:val="28"/>
          <w:szCs w:val="28"/>
        </w:rPr>
        <w:t>标准的要求和措施建议（包括组织措施、技术措施、过渡办法等内容）</w:t>
      </w:r>
      <w:bookmarkEnd w:id="1"/>
    </w:p>
    <w:p>
      <w:pPr>
        <w:ind w:firstLine="560" w:firstLineChars="200"/>
        <w:rPr>
          <w:rFonts w:ascii="Times New Roman" w:hAnsi="Times New Roman"/>
          <w:sz w:val="28"/>
          <w:szCs w:val="28"/>
        </w:rPr>
      </w:pPr>
      <w:r>
        <w:rPr>
          <w:rFonts w:ascii="Times New Roman" w:hAnsi="Times New Roman"/>
          <w:sz w:val="28"/>
          <w:szCs w:val="28"/>
        </w:rPr>
        <w:t>本标准为首次发布。</w:t>
      </w:r>
    </w:p>
    <w:p>
      <w:pPr>
        <w:ind w:firstLine="560" w:firstLineChars="200"/>
        <w:rPr>
          <w:rFonts w:ascii="Times New Roman" w:hAnsi="Times New Roman"/>
          <w:sz w:val="28"/>
          <w:szCs w:val="28"/>
        </w:rPr>
      </w:pPr>
      <w:r>
        <w:rPr>
          <w:rFonts w:ascii="Times New Roman" w:hAnsi="Times New Roman"/>
          <w:sz w:val="28"/>
          <w:szCs w:val="28"/>
        </w:rPr>
        <w:t>建议由</w:t>
      </w:r>
      <w:r>
        <w:rPr>
          <w:rFonts w:hint="eastAsia" w:ascii="Times New Roman" w:hAnsi="Times New Roman"/>
          <w:sz w:val="28"/>
          <w:szCs w:val="28"/>
        </w:rPr>
        <w:t>中国节能协会</w:t>
      </w:r>
      <w:r>
        <w:rPr>
          <w:rFonts w:ascii="Times New Roman" w:hAnsi="Times New Roman"/>
          <w:sz w:val="28"/>
          <w:szCs w:val="28"/>
        </w:rPr>
        <w:t>组织标准的宣贯培训工作，</w:t>
      </w:r>
      <w:r>
        <w:rPr>
          <w:rFonts w:hint="eastAsia" w:ascii="Times New Roman" w:hAnsi="Times New Roman"/>
          <w:sz w:val="28"/>
          <w:szCs w:val="28"/>
          <w:lang w:val="en-US" w:eastAsia="zh-CN"/>
        </w:rPr>
        <w:t>企业</w:t>
      </w:r>
      <w:r>
        <w:rPr>
          <w:rFonts w:ascii="Times New Roman" w:hAnsi="Times New Roman"/>
          <w:sz w:val="28"/>
          <w:szCs w:val="28"/>
        </w:rPr>
        <w:t>自愿采用本团体标准执行。</w:t>
      </w:r>
      <w:bookmarkStart w:id="4" w:name="_GoBack"/>
      <w:bookmarkEnd w:id="4"/>
    </w:p>
    <w:p>
      <w:pPr>
        <w:spacing w:beforeLines="50" w:afterLines="50"/>
        <w:outlineLvl w:val="0"/>
        <w:rPr>
          <w:rFonts w:ascii="Times New Roman" w:hAnsi="Times New Roman"/>
          <w:b/>
          <w:sz w:val="28"/>
          <w:szCs w:val="28"/>
        </w:rPr>
      </w:pPr>
      <w:bookmarkStart w:id="2" w:name="_Toc44514402"/>
      <w:r>
        <w:rPr>
          <w:rFonts w:hint="eastAsia" w:ascii="Times New Roman" w:hAnsi="Times New Roman"/>
          <w:b/>
          <w:sz w:val="28"/>
          <w:szCs w:val="28"/>
          <w:lang w:val="en-US" w:eastAsia="zh-CN"/>
        </w:rPr>
        <w:t>六</w:t>
      </w:r>
      <w:r>
        <w:rPr>
          <w:rFonts w:ascii="Times New Roman" w:hAnsi="Times New Roman"/>
          <w:b/>
          <w:sz w:val="28"/>
          <w:szCs w:val="28"/>
        </w:rPr>
        <w:t>、废止现行相关标准的建议</w:t>
      </w:r>
      <w:bookmarkEnd w:id="2"/>
    </w:p>
    <w:p>
      <w:pPr>
        <w:ind w:firstLine="560" w:firstLineChars="200"/>
        <w:rPr>
          <w:rFonts w:ascii="Times New Roman" w:hAnsi="Times New Roman"/>
          <w:sz w:val="28"/>
          <w:szCs w:val="28"/>
        </w:rPr>
      </w:pPr>
      <w:r>
        <w:rPr>
          <w:rFonts w:ascii="Times New Roman" w:hAnsi="Times New Roman"/>
          <w:bCs/>
          <w:sz w:val="28"/>
          <w:szCs w:val="28"/>
        </w:rPr>
        <w:t>本标准为全新制定，无替代标准版本。</w:t>
      </w:r>
    </w:p>
    <w:p>
      <w:pPr>
        <w:spacing w:beforeLines="50" w:afterLines="50"/>
        <w:outlineLvl w:val="0"/>
        <w:rPr>
          <w:rFonts w:ascii="Times New Roman" w:hAnsi="Times New Roman"/>
          <w:b/>
          <w:sz w:val="28"/>
          <w:szCs w:val="28"/>
        </w:rPr>
      </w:pPr>
      <w:bookmarkStart w:id="3" w:name="_Toc44514403"/>
      <w:r>
        <w:rPr>
          <w:rFonts w:hint="eastAsia" w:ascii="Times New Roman" w:hAnsi="Times New Roman"/>
          <w:b/>
          <w:sz w:val="28"/>
          <w:szCs w:val="28"/>
          <w:lang w:val="en-US" w:eastAsia="zh-CN"/>
        </w:rPr>
        <w:t>七</w:t>
      </w:r>
      <w:r>
        <w:rPr>
          <w:rFonts w:ascii="Times New Roman" w:hAnsi="Times New Roman"/>
          <w:b/>
          <w:sz w:val="28"/>
          <w:szCs w:val="28"/>
        </w:rPr>
        <w:t>、其他应予说明的事项</w:t>
      </w:r>
      <w:bookmarkEnd w:id="3"/>
    </w:p>
    <w:p>
      <w:pPr>
        <w:ind w:firstLine="560" w:firstLineChars="200"/>
        <w:rPr>
          <w:rFonts w:ascii="Times New Roman" w:eastAsiaTheme="majorEastAsia"/>
          <w:sz w:val="28"/>
          <w:szCs w:val="28"/>
        </w:rPr>
      </w:pPr>
      <w:r>
        <w:rPr>
          <w:rFonts w:ascii="Times New Roman" w:hAnsi="Times New Roman"/>
          <w:sz w:val="28"/>
          <w:szCs w:val="28"/>
        </w:rPr>
        <w:t>无。</w:t>
      </w:r>
    </w:p>
    <w:p>
      <w:pPr>
        <w:ind w:firstLine="640" w:firstLineChars="200"/>
        <w:rPr>
          <w:rFonts w:hint="eastAsia" w:ascii="仿宋" w:hAnsi="仿宋" w:eastAsia="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t>第</w:t>
    </w:r>
    <w:r>
      <w:fldChar w:fldCharType="begin"/>
    </w:r>
    <w:r>
      <w:instrText xml:space="preserve">PAGE   \* MERGEFORMAT</w:instrText>
    </w:r>
    <w:r>
      <w:fldChar w:fldCharType="separate"/>
    </w:r>
    <w:r>
      <w:rPr>
        <w:lang w:val="zh-CN"/>
      </w:rPr>
      <w:t>7</w:t>
    </w:r>
    <w:r>
      <w:fldChar w:fldCharType="end"/>
    </w:r>
    <w:r>
      <w:t>页</w:t>
    </w:r>
    <w:r>
      <w:rPr>
        <w:rFonts w:hint="eastAsia"/>
      </w:rPr>
      <w:t>，</w:t>
    </w:r>
    <w:r>
      <w:t>共</w:t>
    </w:r>
    <w:r>
      <w:fldChar w:fldCharType="begin"/>
    </w:r>
    <w:r>
      <w:instrText xml:space="preserve"> NUMPAGES  \* Arabic  \* MERGEFORMAT </w:instrText>
    </w:r>
    <w:r>
      <w:fldChar w:fldCharType="separate"/>
    </w:r>
    <w:r>
      <w:t>7</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906E4"/>
    <w:multiLevelType w:val="multilevel"/>
    <w:tmpl w:val="417906E4"/>
    <w:lvl w:ilvl="0" w:tentative="0">
      <w:start w:val="1"/>
      <w:numFmt w:val="japaneseCounting"/>
      <w:lvlText w:val="%1、"/>
      <w:lvlJc w:val="left"/>
      <w:pPr>
        <w:ind w:left="400" w:hanging="4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6B1"/>
    <w:rsid w:val="0007033F"/>
    <w:rsid w:val="000B1450"/>
    <w:rsid w:val="00104904"/>
    <w:rsid w:val="00124D21"/>
    <w:rsid w:val="001257DE"/>
    <w:rsid w:val="001A2597"/>
    <w:rsid w:val="001C0457"/>
    <w:rsid w:val="001F1307"/>
    <w:rsid w:val="001F1B5F"/>
    <w:rsid w:val="002846B1"/>
    <w:rsid w:val="002F106D"/>
    <w:rsid w:val="003934E5"/>
    <w:rsid w:val="006050E1"/>
    <w:rsid w:val="00640362"/>
    <w:rsid w:val="00781C63"/>
    <w:rsid w:val="007D7175"/>
    <w:rsid w:val="007E516B"/>
    <w:rsid w:val="007F092E"/>
    <w:rsid w:val="00821FF9"/>
    <w:rsid w:val="00824614"/>
    <w:rsid w:val="008C48D0"/>
    <w:rsid w:val="0095525A"/>
    <w:rsid w:val="009619F7"/>
    <w:rsid w:val="00962C54"/>
    <w:rsid w:val="00AD3570"/>
    <w:rsid w:val="00C72747"/>
    <w:rsid w:val="00D01A20"/>
    <w:rsid w:val="056A411A"/>
    <w:rsid w:val="3648375F"/>
    <w:rsid w:val="40D82443"/>
    <w:rsid w:val="4B0C02A5"/>
    <w:rsid w:val="6F325307"/>
    <w:rsid w:val="75847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字符"/>
    <w:basedOn w:val="6"/>
    <w:link w:val="2"/>
    <w:semiHidden/>
    <w:qFormat/>
    <w:uiPriority w:val="99"/>
  </w:style>
  <w:style w:type="character" w:customStyle="1" w:styleId="9">
    <w:name w:val="页眉 字符"/>
    <w:basedOn w:val="6"/>
    <w:link w:val="4"/>
    <w:qFormat/>
    <w:uiPriority w:val="99"/>
    <w:rPr>
      <w:sz w:val="18"/>
      <w:szCs w:val="18"/>
    </w:rPr>
  </w:style>
  <w:style w:type="character" w:customStyle="1" w:styleId="10">
    <w:name w:val="页脚 字符"/>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1710</Words>
  <Characters>2038</Characters>
  <Lines>14</Lines>
  <Paragraphs>4</Paragraphs>
  <TotalTime>12</TotalTime>
  <ScaleCrop>false</ScaleCrop>
  <LinksUpToDate>false</LinksUpToDate>
  <CharactersWithSpaces>2157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2022-04-11T01:41:00Z</dcterms:created>
  <dc:creator>陈婉兰</dc:creator>
  <cp:lastModifiedBy>张先生</cp:lastModifiedBy>
  <dcterms:modified xsi:type="dcterms:W3CDTF">2022-04-11T07:39:01Z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7941486DD4B146F3B57F6697AC82840E</vt:lpwstr>
  </property>
</Properties>
</file>